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黑体" w:hAnsi="黑体" w:eastAsia="黑体" w:cs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黄安平</w:t>
      </w:r>
      <w:r>
        <w:rPr>
          <w:rFonts w:hint="eastAsia" w:ascii="黑体" w:hAnsi="黑体" w:eastAsia="黑体" w:cs="黑体"/>
          <w:bCs/>
          <w:sz w:val="36"/>
          <w:szCs w:val="36"/>
        </w:rPr>
        <w:t>赴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美国参加萨凡纳州立大学暑期语言学习和文化</w:t>
      </w:r>
      <w:r>
        <w:rPr>
          <w:rFonts w:hint="eastAsia" w:ascii="黑体" w:hAnsi="黑体" w:eastAsia="黑体" w:cs="黑体"/>
          <w:bCs/>
          <w:sz w:val="36"/>
          <w:szCs w:val="36"/>
        </w:rPr>
        <w:t>交流</w:t>
      </w:r>
      <w:bookmarkEnd w:id="0"/>
      <w:r>
        <w:rPr>
          <w:rFonts w:hint="eastAsia" w:ascii="黑体" w:hAnsi="黑体" w:eastAsia="黑体" w:cs="黑体"/>
          <w:bCs/>
          <w:sz w:val="36"/>
          <w:szCs w:val="36"/>
        </w:rPr>
        <w:t>访问报告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为了推进地方高校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国际合作交流建设</w:t>
      </w:r>
      <w:r>
        <w:rPr>
          <w:rFonts w:hint="eastAsia" w:ascii="仿宋_GB2312" w:hAnsi="仿宋_GB2312" w:eastAsia="仿宋_GB2312" w:cs="仿宋_GB2312"/>
          <w:sz w:val="28"/>
          <w:szCs w:val="28"/>
        </w:rPr>
        <w:t>，提升学校优秀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学生海外学习交流能力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在学校的选派下，</w:t>
      </w:r>
      <w:r>
        <w:rPr>
          <w:rFonts w:hint="eastAsia" w:ascii="仿宋_GB2312" w:hAnsi="仿宋_GB2312" w:eastAsia="仿宋_GB2312" w:cs="仿宋_GB2312"/>
          <w:sz w:val="28"/>
          <w:szCs w:val="28"/>
        </w:rPr>
        <w:t>2019年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月7日至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28"/>
          <w:szCs w:val="28"/>
        </w:rPr>
        <w:t>日，</w:t>
      </w:r>
      <w:r>
        <w:rPr>
          <w:rFonts w:hint="eastAsia" w:ascii="仿宋_GB2312" w:hAnsi="仿宋_GB2312" w:eastAsia="仿宋_GB2312" w:cs="仿宋_GB2312"/>
          <w:sz w:val="28"/>
          <w:szCs w:val="28"/>
          <w:lang w:val="en-GB" w:eastAsia="zh-CN"/>
        </w:rPr>
        <w:t>九江学院</w:t>
      </w:r>
      <w:r>
        <w:rPr>
          <w:rFonts w:hint="eastAsia" w:ascii="仿宋_GB2312" w:hAnsi="仿宋_GB2312" w:eastAsia="仿宋_GB2312" w:cs="仿宋_GB2312"/>
          <w:sz w:val="28"/>
          <w:szCs w:val="28"/>
        </w:rPr>
        <w:t>国际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交流学院学生管理科黄安平副科长</w:t>
      </w:r>
      <w:r>
        <w:rPr>
          <w:rFonts w:hint="eastAsia" w:ascii="仿宋_GB2312" w:hAnsi="仿宋_GB2312" w:eastAsia="仿宋_GB2312" w:cs="仿宋_GB2312"/>
          <w:sz w:val="28"/>
          <w:szCs w:val="28"/>
        </w:rPr>
        <w:t>应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美国萨凡纳州立大学国际教育中心副主任朱利安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基维</w:t>
      </w:r>
      <w:r>
        <w:rPr>
          <w:rFonts w:hint="eastAsia" w:ascii="仿宋_GB2312" w:hAnsi="仿宋_GB2312" w:eastAsia="仿宋_GB2312" w:cs="仿宋_GB2312"/>
          <w:sz w:val="28"/>
          <w:szCs w:val="28"/>
        </w:rPr>
        <w:t>(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Joline Keevy</w:t>
      </w:r>
      <w:r>
        <w:rPr>
          <w:rFonts w:hint="eastAsia" w:ascii="仿宋_GB2312" w:hAnsi="仿宋_GB2312" w:eastAsia="仿宋_GB2312" w:cs="仿宋_GB2312"/>
          <w:sz w:val="28"/>
          <w:szCs w:val="28"/>
        </w:rPr>
        <w:t>)邀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请，带队九江学院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15名在校本专科生</w:t>
      </w:r>
      <w:r>
        <w:rPr>
          <w:rFonts w:hint="eastAsia" w:ascii="仿宋_GB2312" w:hAnsi="仿宋_GB2312" w:eastAsia="仿宋_GB2312" w:cs="仿宋_GB2312"/>
          <w:sz w:val="28"/>
          <w:szCs w:val="28"/>
        </w:rPr>
        <w:t>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美国</w:t>
      </w:r>
      <w:r>
        <w:rPr>
          <w:rFonts w:hint="eastAsia" w:ascii="仿宋_GB2312" w:hAnsi="仿宋_GB2312" w:eastAsia="仿宋_GB2312" w:cs="仿宋_GB2312"/>
          <w:sz w:val="28"/>
          <w:szCs w:val="28"/>
        </w:rPr>
        <w:t>为期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>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2019萨凡纳暑期英语语言学习和文化体验夏令营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此次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参会</w:t>
      </w:r>
      <w:r>
        <w:rPr>
          <w:rFonts w:hint="eastAsia" w:ascii="仿宋_GB2312" w:hAnsi="仿宋_GB2312" w:eastAsia="仿宋_GB2312" w:cs="仿宋_GB2312"/>
          <w:sz w:val="28"/>
          <w:szCs w:val="28"/>
        </w:rPr>
        <w:t>的主要目的是：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进行英语语言专项学习，</w:t>
      </w:r>
      <w:r>
        <w:rPr>
          <w:rFonts w:hint="eastAsia" w:ascii="仿宋_GB2312" w:hAnsi="仿宋_GB2312" w:eastAsia="仿宋_GB2312" w:cs="仿宋_GB2312"/>
          <w:sz w:val="28"/>
          <w:szCs w:val="28"/>
        </w:rPr>
        <w:t>开展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中美文化</w:t>
      </w:r>
      <w:r>
        <w:rPr>
          <w:rFonts w:hint="eastAsia" w:ascii="仿宋_GB2312" w:hAnsi="仿宋_GB2312" w:eastAsia="仿宋_GB2312" w:cs="仿宋_GB2312"/>
          <w:sz w:val="28"/>
          <w:szCs w:val="28"/>
        </w:rPr>
        <w:t>交流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。参观美国大学</w:t>
      </w:r>
      <w:r>
        <w:rPr>
          <w:rFonts w:hint="eastAsia" w:ascii="仿宋_GB2312" w:hAnsi="仿宋_GB2312" w:eastAsia="仿宋_GB2312" w:cs="仿宋_GB2312"/>
          <w:sz w:val="28"/>
          <w:szCs w:val="28"/>
        </w:rPr>
        <w:t>了解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美国国际教育情况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学习美国高校国际教育管理先进经验</w:t>
      </w:r>
      <w:r>
        <w:rPr>
          <w:rFonts w:hint="eastAsia" w:ascii="仿宋_GB2312" w:hAnsi="仿宋_GB2312" w:eastAsia="仿宋_GB2312" w:cs="仿宋_GB2312"/>
          <w:sz w:val="28"/>
          <w:szCs w:val="28"/>
        </w:rPr>
        <w:t>，探索国际化办学的思路。通过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学习</w:t>
      </w:r>
      <w:r>
        <w:rPr>
          <w:rFonts w:hint="eastAsia" w:ascii="仿宋_GB2312" w:hAnsi="仿宋_GB2312" w:eastAsia="仿宋_GB2312" w:cs="仿宋_GB2312"/>
          <w:sz w:val="28"/>
          <w:szCs w:val="28"/>
        </w:rPr>
        <w:t>交流，密切了与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对方高校</w:t>
      </w:r>
      <w:r>
        <w:rPr>
          <w:rFonts w:hint="eastAsia" w:ascii="仿宋_GB2312" w:hAnsi="仿宋_GB2312" w:eastAsia="仿宋_GB2312" w:cs="仿宋_GB2312"/>
          <w:sz w:val="28"/>
          <w:szCs w:val="28"/>
        </w:rPr>
        <w:t>的联系，开阔了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师生的国际</w:t>
      </w:r>
      <w:r>
        <w:rPr>
          <w:rFonts w:hint="eastAsia" w:ascii="仿宋_GB2312" w:hAnsi="仿宋_GB2312" w:eastAsia="仿宋_GB2312" w:cs="仿宋_GB2312"/>
          <w:sz w:val="28"/>
          <w:szCs w:val="28"/>
        </w:rPr>
        <w:t>视野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达到了预期的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学习</w:t>
      </w:r>
      <w:r>
        <w:rPr>
          <w:rFonts w:hint="eastAsia" w:ascii="仿宋_GB2312" w:hAnsi="仿宋_GB2312" w:eastAsia="仿宋_GB2312" w:cs="仿宋_GB2312"/>
          <w:sz w:val="28"/>
          <w:szCs w:val="28"/>
        </w:rPr>
        <w:t>效果。现将出访情况报告如下：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一、出访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内容介绍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合理安排语言课程，提升语言学习能力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>天的时间，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每周从周一至周五参加十二个半小时的英语语言学习，授课教师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Ms. Joan Stalcup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从事多年的英语教学，具有丰富的教学经验及海外学习经历，学员们通过课堂学习，了解到当地的政治、教育、商业和社区服务。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每天上午根据学员的英语水平进行集中的英语语言授课，下午美方高校给学员们提供了很多课外的教育和文化活动。课程授课方式基本为开放式小组学习或小组讨论，在外籍教师的要求下学员们把口语训练结合到写作上，侧重于口语表达的训练，根据设置的不同的场景，学习如何辨认不同的英语口音，如何记录所听到的语音材料，如何正确的理解和开展口语对话，如何在口语表达中正确的运用英语语法知识。与此同时，根据校方安排，学员们利用课外时间开展校内外的集体活动，如寻宝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Treasure Hunt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 猜谜（Puzzle）、 棋牌竞赛（Games）、 辩论（Debating）、英语速记、英语宾果和划船比赛</w:t>
      </w:r>
      <w:r>
        <w:rPr>
          <w:rFonts w:hint="eastAsia" w:ascii="仿宋" w:hAnsi="仿宋" w:eastAsia="仿宋" w:cs="仿宋"/>
          <w:i w:val="0"/>
          <w:iCs w:val="0"/>
          <w:color w:val="auto"/>
          <w:sz w:val="28"/>
          <w:szCs w:val="28"/>
          <w:lang w:val="en-US" w:eastAsia="zh-CN"/>
        </w:rPr>
        <w:t>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文化体验丰富，提升文化交流能力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夏令营期间，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来自萨凡纳州立大学国际教育中心的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教师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Ms.Joline Keevy, Mr. John Milton 和 Ms. Melanie，全程陪同我校夏令营团学员，尽心尽责，耐心周到安排各项学习和文化体验活动。学员们步行在萨凡纳市12个市政广场，感受萨凡纳二佰多年的历史文化，参观了萨凡纳历史博物馆和市政大厅、市法院、女子童子军纪念地，非洲文化博物馆、萨凡纳香蕉棒球队、萨凡纳野生动物保护中心等。此外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学员们与当地的学生、志愿者和居民进行学习交流实践，敢于开口，敢于表达自己的想法，进行日常的英语对话，提高语言表达和沟通能力。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美国高校英语教学方式对我校英语教学的启示和建议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启示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大学阶段高校需要培养学生的英语综合应用能力，包括听说读写的能力，但重视程度不够，教学效果不佳。我校的英语教育模式依旧传统，理念滞后，缺乏创新，问题依旧。如教师依旧处于教学的主题地位，教学内容唯课本，偏词汇、语法，课堂模式仍旧是一言谈为主，其后果是学生习惯了不开口、不敢开口用英语进行表达，被动学习，造成了“哑巴英语”的现象。此次夏令营初期，学员们初到美国，课堂内外都不敢表达自己的想法，怕了提出问题，英语表达磕磕碰碰，小组讨论不积极。同学们意识到无法把在国内已学到的英语知识应用到实践中来。经过多次的课堂学习和讨论，学员们逐渐适应美国的课堂教学方式，并积极参与实践当中。学习中，我们发现，美国教室的桌椅摆列是灵活的。移动式桌椅的排列令我们耳目一新，师生间和学生彼此交流更轻松。教师的教学内容、教学资源丰富，教学方法多样，有“课堂讨论”、“小组协作”及“任务教学”等，课堂教学以学生为主体，而非“翻译式”授课或“以教师为中心”，而且在课堂上教师鼓励学生提问。我们应该积极改变传统的“填鸭式”、“翻译式”的以教师为中心的英语教学模式，借鉴国外先进的教学理念，不断提高学校英语教育质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在短期的语言文化交流学习中，很多学生咨询到我校合作高校的专业情况，生活情况等，有意申请有关高校的互换项目进行长期的专业学习。但因对自己学校的相关政策了解不够，不知道如何申请，具体有哪些合作院校，学分互认怎么操作，学费如何？等等，在一定程度上影响了我校学生通过交换生项目出国学习的意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（二）工作建议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继续推进学校“优秀学生海外语言文化交流”项目，每年选派更多的优秀在校生赴美国、英国、韩国、泰国、新加坡等国家和地区，与我校有国际交流合作的海外高校联合开展夏令营活动，进行为期三周或一个月期的语言学习和文化体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学校还可以进一步实施“交换生项目”计划，稳步、有序、健康的推进“交换生项目”的执行，让我校更多的在校学生走出去，进行更长期的专业学习，拓展国际视野。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附：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2019萨凡纳暑期英语语言学习和文化体验夏令营人员名单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110"/>
        <w:gridCol w:w="975"/>
        <w:gridCol w:w="1680"/>
        <w:gridCol w:w="1800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护照号码</w:t>
            </w: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周旭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12/08/1997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EF2007246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15779282899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刘辰玉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13/10/1999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EG0120449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15870858390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钟春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28/01/1997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EG1202442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13687027811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孙珊珊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02/09/1998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EA9646208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13007298272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褚泽凡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02/07/1998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EG1228710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15879205347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马志远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01/10/1999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EA4452593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13995210249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李志超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25/08/1998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ED5364901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15779230437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涂羽伦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19/03/1999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EG1198684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15879019730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夏宛月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28/11/1999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EA3924921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13177512578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327660</wp:posOffset>
                  </wp:positionV>
                  <wp:extent cx="10160" cy="0"/>
                  <wp:effectExtent l="0" t="0" r="0" b="0"/>
                  <wp:wrapNone/>
                  <wp:docPr id="16" name="Ink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nk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174625</wp:posOffset>
                  </wp:positionV>
                  <wp:extent cx="9525" cy="8255"/>
                  <wp:effectExtent l="0" t="0" r="0" b="0"/>
                  <wp:wrapNone/>
                  <wp:docPr id="17" name="Ink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nk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262890</wp:posOffset>
                  </wp:positionV>
                  <wp:extent cx="9525" cy="0"/>
                  <wp:effectExtent l="0" t="0" r="0" b="0"/>
                  <wp:wrapNone/>
                  <wp:docPr id="18" name="Ink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k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106680</wp:posOffset>
                  </wp:positionV>
                  <wp:extent cx="9525" cy="10160"/>
                  <wp:effectExtent l="0" t="0" r="0" b="0"/>
                  <wp:wrapNone/>
                  <wp:docPr id="19" name="Ink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k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260985</wp:posOffset>
                  </wp:positionV>
                  <wp:extent cx="9525" cy="0"/>
                  <wp:effectExtent l="0" t="0" r="0" b="0"/>
                  <wp:wrapNone/>
                  <wp:docPr id="20" name="Ink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nk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魏逸琳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19/05/1999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EA1209716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15350000519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付泽茜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22/04/1999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EA9211941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15607915968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杨欣颜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24/12/1999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E52020209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15720987458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聂倩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28/10/1999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ED5393956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18470598061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徐卓霄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02/03/1999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EG0289547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13507020712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邓诗婧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16/05/2001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EG1193842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15007961021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黄安平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14/09/1979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PE01684126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13576228800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报告人：黄安平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国际交流学院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C945B4"/>
    <w:multiLevelType w:val="singleLevel"/>
    <w:tmpl w:val="84C945B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F32A5"/>
    <w:rsid w:val="04C56012"/>
    <w:rsid w:val="107F11AF"/>
    <w:rsid w:val="13113C42"/>
    <w:rsid w:val="1AD31939"/>
    <w:rsid w:val="1EAE7577"/>
    <w:rsid w:val="209501AF"/>
    <w:rsid w:val="2CCE1285"/>
    <w:rsid w:val="2D3F32A5"/>
    <w:rsid w:val="2F2A6454"/>
    <w:rsid w:val="2F416481"/>
    <w:rsid w:val="34473714"/>
    <w:rsid w:val="3B1B78D2"/>
    <w:rsid w:val="3DD4089F"/>
    <w:rsid w:val="51B50EA7"/>
    <w:rsid w:val="548A36E1"/>
    <w:rsid w:val="55F22BB7"/>
    <w:rsid w:val="575339F8"/>
    <w:rsid w:val="5ABD670E"/>
    <w:rsid w:val="71FE6393"/>
    <w:rsid w:val="7FD12B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2019-09-01T02:46:00Z</dcterms:created>
  <dc:creator>亦客黄安平</dc:creator>
  <cp:lastModifiedBy>YUQIHUA</cp:lastModifiedBy>
  <cp:lastPrinted>2019-09-01T02:57:00Z</cp:lastPrinted>
  <dcterms:modified xsi:type="dcterms:W3CDTF">2021-01-04T01:52:26Z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